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13E0" w:rsidRPr="00FB4F80" w:rsidRDefault="00BE13E0" w:rsidP="00BE13E0">
      <w:pPr>
        <w:shd w:val="clear" w:color="auto" w:fill="FCFDFE"/>
        <w:spacing w:after="375" w:line="240" w:lineRule="auto"/>
        <w:jc w:val="center"/>
        <w:outlineLvl w:val="0"/>
        <w:rPr>
          <w:rFonts w:ascii="Times New Roman" w:eastAsia="Times New Roman" w:hAnsi="Times New Roman" w:cs="Times New Roman"/>
          <w:b/>
          <w:bCs/>
          <w:color w:val="365F91" w:themeColor="accent1" w:themeShade="BF"/>
          <w:kern w:val="36"/>
          <w:sz w:val="52"/>
          <w:szCs w:val="28"/>
        </w:rPr>
      </w:pPr>
      <w:r w:rsidRPr="00FB4F80">
        <w:rPr>
          <w:rFonts w:ascii="Times New Roman" w:eastAsia="Times New Roman" w:hAnsi="Times New Roman" w:cs="Times New Roman"/>
          <w:b/>
          <w:bCs/>
          <w:color w:val="365F91" w:themeColor="accent1" w:themeShade="BF"/>
          <w:kern w:val="36"/>
          <w:sz w:val="52"/>
          <w:szCs w:val="28"/>
        </w:rPr>
        <w:t>Tiêu chí đo lường chuẩn nghèo đa chiều giai đoạn 2022-2025 thế nà</w:t>
      </w:r>
      <w:bookmarkStart w:id="0" w:name="_GoBack"/>
      <w:bookmarkEnd w:id="0"/>
      <w:r w:rsidRPr="00FB4F80">
        <w:rPr>
          <w:rFonts w:ascii="Times New Roman" w:eastAsia="Times New Roman" w:hAnsi="Times New Roman" w:cs="Times New Roman"/>
          <w:b/>
          <w:bCs/>
          <w:color w:val="365F91" w:themeColor="accent1" w:themeShade="BF"/>
          <w:kern w:val="36"/>
          <w:sz w:val="52"/>
          <w:szCs w:val="28"/>
        </w:rPr>
        <w:t>o?</w:t>
      </w:r>
    </w:p>
    <w:p w:rsidR="00BE13E0" w:rsidRPr="00BE13E0" w:rsidRDefault="00BE13E0" w:rsidP="00BE13E0">
      <w:pPr>
        <w:shd w:val="clear" w:color="auto" w:fill="FCFDFE"/>
        <w:spacing w:line="240" w:lineRule="auto"/>
        <w:ind w:firstLine="720"/>
        <w:jc w:val="both"/>
        <w:rPr>
          <w:rFonts w:ascii="Times New Roman" w:eastAsia="Times New Roman" w:hAnsi="Times New Roman" w:cs="Times New Roman"/>
          <w:b/>
          <w:bCs/>
          <w:sz w:val="28"/>
          <w:szCs w:val="28"/>
        </w:rPr>
      </w:pPr>
      <w:r w:rsidRPr="00BE13E0">
        <w:rPr>
          <w:rFonts w:ascii="Times New Roman" w:eastAsia="Times New Roman" w:hAnsi="Times New Roman" w:cs="Times New Roman"/>
          <w:b/>
          <w:bCs/>
          <w:sz w:val="28"/>
          <w:szCs w:val="28"/>
        </w:rPr>
        <w:t>Mức thu nhập và mức độ thiếu hụt dịch vụ xã hội cơ bản là các tiêu chí đo lường chuẩn </w:t>
      </w:r>
      <w:hyperlink r:id="rId5" w:tgtFrame="_blank" w:tooltip="nghèo đa chiều" w:history="1">
        <w:r w:rsidRPr="00BE13E0">
          <w:rPr>
            <w:rFonts w:ascii="Times New Roman" w:eastAsia="Times New Roman" w:hAnsi="Times New Roman" w:cs="Times New Roman"/>
            <w:b/>
            <w:bCs/>
            <w:sz w:val="28"/>
            <w:szCs w:val="28"/>
          </w:rPr>
          <w:t>nghèo đa chiều</w:t>
        </w:r>
      </w:hyperlink>
      <w:r w:rsidRPr="00BE13E0">
        <w:rPr>
          <w:rFonts w:ascii="Times New Roman" w:eastAsia="Times New Roman" w:hAnsi="Times New Roman" w:cs="Times New Roman"/>
          <w:b/>
          <w:bCs/>
          <w:sz w:val="28"/>
          <w:szCs w:val="28"/>
        </w:rPr>
        <w:t> giai đoạn 2022 – 2025.</w:t>
      </w:r>
    </w:p>
    <w:p w:rsidR="00BE13E0" w:rsidRPr="00BE13E0" w:rsidRDefault="00BE13E0" w:rsidP="00BE13E0">
      <w:pPr>
        <w:shd w:val="clear" w:color="auto" w:fill="FCFDFE"/>
        <w:spacing w:after="100" w:afterAutospacing="1" w:line="240" w:lineRule="auto"/>
        <w:jc w:val="both"/>
        <w:rPr>
          <w:rFonts w:ascii="Times New Roman" w:eastAsia="Times New Roman" w:hAnsi="Times New Roman" w:cs="Times New Roman"/>
          <w:sz w:val="28"/>
          <w:szCs w:val="28"/>
        </w:rPr>
      </w:pPr>
      <w:r w:rsidRPr="00BE13E0">
        <w:rPr>
          <w:rFonts w:ascii="Times New Roman" w:eastAsia="Times New Roman" w:hAnsi="Times New Roman" w:cs="Times New Roman"/>
          <w:sz w:val="28"/>
          <w:szCs w:val="28"/>
        </w:rPr>
        <w:t>Chuẩn nghèo đa chiều giai đoạn 2022 – 2025 là nội dung trọng tâm được đề cập trong Nghị định 07/2021/NĐ-CP mà Chính phủ vừa mới ban hành gần đây. Nghị định này có hiệu lực thi hành kể từ ngày 15.3.2021.</w:t>
      </w:r>
    </w:p>
    <w:p w:rsidR="00BE13E0" w:rsidRPr="00BE13E0" w:rsidRDefault="00BE13E0" w:rsidP="00BE13E0">
      <w:pPr>
        <w:shd w:val="clear" w:color="auto" w:fill="FCFDFE"/>
        <w:spacing w:after="100" w:afterAutospacing="1" w:line="240" w:lineRule="auto"/>
        <w:jc w:val="both"/>
        <w:rPr>
          <w:rFonts w:ascii="Times New Roman" w:eastAsia="Times New Roman" w:hAnsi="Times New Roman" w:cs="Times New Roman"/>
          <w:sz w:val="28"/>
          <w:szCs w:val="28"/>
        </w:rPr>
      </w:pPr>
      <w:r w:rsidRPr="00BE13E0">
        <w:rPr>
          <w:rFonts w:ascii="Times New Roman" w:eastAsia="Times New Roman" w:hAnsi="Times New Roman" w:cs="Times New Roman"/>
          <w:sz w:val="28"/>
          <w:szCs w:val="28"/>
        </w:rPr>
        <w:t>Theo đó, tiêu chí đo lường nghèo đa chiều giai đoạn 2022 – 2025 được quy định như sau:</w:t>
      </w:r>
    </w:p>
    <w:p w:rsidR="00BE13E0" w:rsidRPr="00BE13E0" w:rsidRDefault="00BE13E0" w:rsidP="00BE13E0">
      <w:pPr>
        <w:shd w:val="clear" w:color="auto" w:fill="FCFDFE"/>
        <w:spacing w:after="100" w:afterAutospacing="1" w:line="240" w:lineRule="auto"/>
        <w:jc w:val="both"/>
        <w:rPr>
          <w:rFonts w:ascii="Times New Roman" w:eastAsia="Times New Roman" w:hAnsi="Times New Roman" w:cs="Times New Roman"/>
          <w:sz w:val="28"/>
          <w:szCs w:val="28"/>
        </w:rPr>
      </w:pPr>
      <w:r w:rsidRPr="00BE13E0">
        <w:rPr>
          <w:rFonts w:ascii="Times New Roman" w:eastAsia="Times New Roman" w:hAnsi="Times New Roman" w:cs="Times New Roman"/>
          <w:b/>
          <w:bCs/>
          <w:sz w:val="28"/>
          <w:szCs w:val="28"/>
        </w:rPr>
        <w:t>Tiêu chí về thu nhập:</w:t>
      </w:r>
    </w:p>
    <w:p w:rsidR="00BE13E0" w:rsidRPr="00BE13E0" w:rsidRDefault="00BE13E0" w:rsidP="00BE13E0">
      <w:pPr>
        <w:shd w:val="clear" w:color="auto" w:fill="FCFDFE"/>
        <w:spacing w:after="100" w:afterAutospacing="1" w:line="240" w:lineRule="auto"/>
        <w:jc w:val="both"/>
        <w:rPr>
          <w:rFonts w:ascii="Times New Roman" w:eastAsia="Times New Roman" w:hAnsi="Times New Roman" w:cs="Times New Roman"/>
          <w:sz w:val="28"/>
          <w:szCs w:val="28"/>
        </w:rPr>
      </w:pPr>
      <w:r w:rsidRPr="00BE13E0">
        <w:rPr>
          <w:rFonts w:ascii="Times New Roman" w:eastAsia="Times New Roman" w:hAnsi="Times New Roman" w:cs="Times New Roman"/>
          <w:sz w:val="28"/>
          <w:szCs w:val="28"/>
        </w:rPr>
        <w:t>Khu vực nông thôn: 1.500.000 đồng/người/tháng.</w:t>
      </w:r>
    </w:p>
    <w:p w:rsidR="00BE13E0" w:rsidRPr="00BE13E0" w:rsidRDefault="00BE13E0" w:rsidP="00BE13E0">
      <w:pPr>
        <w:shd w:val="clear" w:color="auto" w:fill="FCFDFE"/>
        <w:spacing w:after="100" w:afterAutospacing="1" w:line="240" w:lineRule="auto"/>
        <w:jc w:val="both"/>
        <w:rPr>
          <w:rFonts w:ascii="Times New Roman" w:eastAsia="Times New Roman" w:hAnsi="Times New Roman" w:cs="Times New Roman"/>
          <w:sz w:val="28"/>
          <w:szCs w:val="28"/>
        </w:rPr>
      </w:pPr>
      <w:r w:rsidRPr="00BE13E0">
        <w:rPr>
          <w:rFonts w:ascii="Times New Roman" w:eastAsia="Times New Roman" w:hAnsi="Times New Roman" w:cs="Times New Roman"/>
          <w:sz w:val="28"/>
          <w:szCs w:val="28"/>
        </w:rPr>
        <w:t>Khu vực thành thị: 2.000.000 đồng/người/tháng.</w:t>
      </w:r>
    </w:p>
    <w:p w:rsidR="00BE13E0" w:rsidRPr="00BE13E0" w:rsidRDefault="00BE13E0" w:rsidP="00BE13E0">
      <w:pPr>
        <w:shd w:val="clear" w:color="auto" w:fill="FCFDFE"/>
        <w:spacing w:after="100" w:afterAutospacing="1" w:line="240" w:lineRule="auto"/>
        <w:jc w:val="both"/>
        <w:rPr>
          <w:rFonts w:ascii="Times New Roman" w:eastAsia="Times New Roman" w:hAnsi="Times New Roman" w:cs="Times New Roman"/>
          <w:sz w:val="28"/>
          <w:szCs w:val="28"/>
        </w:rPr>
      </w:pPr>
    </w:p>
    <w:p w:rsidR="00BE13E0" w:rsidRPr="00BE13E0" w:rsidRDefault="00BE13E0" w:rsidP="00BE13E0">
      <w:pPr>
        <w:shd w:val="clear" w:color="auto" w:fill="FCFDFE"/>
        <w:spacing w:after="0" w:line="240" w:lineRule="auto"/>
        <w:rPr>
          <w:rFonts w:ascii="Times New Roman" w:eastAsia="Times New Roman" w:hAnsi="Times New Roman" w:cs="Times New Roman"/>
          <w:sz w:val="28"/>
          <w:szCs w:val="28"/>
        </w:rPr>
      </w:pPr>
      <w:r w:rsidRPr="00BE13E0">
        <w:rPr>
          <w:rFonts w:ascii="Times New Roman" w:eastAsia="Times New Roman" w:hAnsi="Times New Roman" w:cs="Times New Roman"/>
          <w:noProof/>
          <w:sz w:val="28"/>
          <w:szCs w:val="28"/>
        </w:rPr>
        <w:lastRenderedPageBreak/>
        <w:drawing>
          <wp:inline distT="0" distB="0" distL="0" distR="0" wp14:anchorId="1101EF3A" wp14:editId="12433A3F">
            <wp:extent cx="6667500" cy="6305550"/>
            <wp:effectExtent l="0" t="0" r="0" b="0"/>
            <wp:docPr id="3" name="Picture 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67500" cy="6305550"/>
                    </a:xfrm>
                    <a:prstGeom prst="rect">
                      <a:avLst/>
                    </a:prstGeom>
                    <a:noFill/>
                    <a:ln>
                      <a:noFill/>
                    </a:ln>
                  </pic:spPr>
                </pic:pic>
              </a:graphicData>
            </a:graphic>
          </wp:inline>
        </w:drawing>
      </w:r>
    </w:p>
    <w:p w:rsidR="00BE13E0" w:rsidRPr="00BE13E0" w:rsidRDefault="00BE13E0" w:rsidP="00BE13E0">
      <w:pPr>
        <w:shd w:val="clear" w:color="auto" w:fill="FCFDFE"/>
        <w:spacing w:after="0" w:line="240" w:lineRule="auto"/>
        <w:rPr>
          <w:rFonts w:ascii="Times New Roman" w:eastAsia="Times New Roman" w:hAnsi="Times New Roman" w:cs="Times New Roman"/>
          <w:sz w:val="28"/>
          <w:szCs w:val="28"/>
        </w:rPr>
      </w:pPr>
    </w:p>
    <w:p w:rsidR="00BE13E0" w:rsidRPr="00BE13E0" w:rsidRDefault="00BE13E0" w:rsidP="00BE13E0">
      <w:pPr>
        <w:shd w:val="clear" w:color="auto" w:fill="FCFDFE"/>
        <w:spacing w:after="0" w:line="240" w:lineRule="auto"/>
        <w:ind w:firstLine="720"/>
        <w:jc w:val="both"/>
        <w:rPr>
          <w:rFonts w:ascii="Times New Roman" w:eastAsia="Times New Roman" w:hAnsi="Times New Roman" w:cs="Times New Roman"/>
          <w:sz w:val="28"/>
          <w:szCs w:val="28"/>
        </w:rPr>
      </w:pPr>
      <w:r w:rsidRPr="00BE13E0">
        <w:rPr>
          <w:rFonts w:ascii="Times New Roman" w:eastAsia="Times New Roman" w:hAnsi="Times New Roman" w:cs="Times New Roman"/>
          <w:sz w:val="28"/>
          <w:szCs w:val="28"/>
        </w:rPr>
        <w:t>Tiêu chí về thu nhập xác định các mức chuẩn hộ nghèo, hộ cận nghèo, hộ có mức sống trung bình.</w:t>
      </w:r>
    </w:p>
    <w:p w:rsidR="00BE13E0" w:rsidRPr="00BE13E0" w:rsidRDefault="00BE13E0" w:rsidP="00BE13E0">
      <w:pPr>
        <w:shd w:val="clear" w:color="auto" w:fill="FCFDFE"/>
        <w:spacing w:after="100" w:afterAutospacing="1" w:line="240" w:lineRule="auto"/>
        <w:ind w:firstLine="720"/>
        <w:jc w:val="both"/>
        <w:rPr>
          <w:rFonts w:ascii="Times New Roman" w:eastAsia="Times New Roman" w:hAnsi="Times New Roman" w:cs="Times New Roman"/>
          <w:sz w:val="28"/>
          <w:szCs w:val="28"/>
        </w:rPr>
      </w:pPr>
      <w:r w:rsidRPr="00BE13E0">
        <w:rPr>
          <w:rFonts w:ascii="Times New Roman" w:eastAsia="Times New Roman" w:hAnsi="Times New Roman" w:cs="Times New Roman"/>
          <w:b/>
          <w:bCs/>
          <w:sz w:val="28"/>
          <w:szCs w:val="28"/>
        </w:rPr>
        <w:t>Tiêu chí mức độ thiếu hụt dịch vụ xã hội cơ bản</w:t>
      </w:r>
    </w:p>
    <w:p w:rsidR="00BE13E0" w:rsidRPr="00BE13E0" w:rsidRDefault="00BE13E0" w:rsidP="00BE13E0">
      <w:pPr>
        <w:shd w:val="clear" w:color="auto" w:fill="FCFDFE"/>
        <w:spacing w:after="100" w:afterAutospacing="1" w:line="240" w:lineRule="auto"/>
        <w:ind w:firstLine="720"/>
        <w:jc w:val="both"/>
        <w:rPr>
          <w:rFonts w:ascii="Times New Roman" w:eastAsia="Times New Roman" w:hAnsi="Times New Roman" w:cs="Times New Roman"/>
          <w:sz w:val="28"/>
          <w:szCs w:val="28"/>
        </w:rPr>
      </w:pPr>
      <w:r w:rsidRPr="00BE13E0">
        <w:rPr>
          <w:rFonts w:ascii="Times New Roman" w:eastAsia="Times New Roman" w:hAnsi="Times New Roman" w:cs="Times New Roman"/>
          <w:sz w:val="28"/>
          <w:szCs w:val="28"/>
        </w:rPr>
        <w:t>Các dịch vụ xã hội cơ bản (06 dịch vụ), bao gồm: việc làm; y tế, giáo dục; nhà ở, nước sinh hoạt và vệ sinh, thông tin.</w:t>
      </w:r>
    </w:p>
    <w:p w:rsidR="00BE13E0" w:rsidRPr="00BE13E0" w:rsidRDefault="00BE13E0" w:rsidP="00BE13E0">
      <w:pPr>
        <w:shd w:val="clear" w:color="auto" w:fill="FCFDFE"/>
        <w:spacing w:after="100" w:afterAutospacing="1" w:line="240" w:lineRule="auto"/>
        <w:ind w:firstLine="720"/>
        <w:jc w:val="both"/>
        <w:rPr>
          <w:rFonts w:ascii="Times New Roman" w:eastAsia="Times New Roman" w:hAnsi="Times New Roman" w:cs="Times New Roman"/>
          <w:sz w:val="28"/>
          <w:szCs w:val="28"/>
        </w:rPr>
      </w:pPr>
      <w:r w:rsidRPr="00BE13E0">
        <w:rPr>
          <w:rFonts w:ascii="Times New Roman" w:eastAsia="Times New Roman" w:hAnsi="Times New Roman" w:cs="Times New Roman"/>
          <w:sz w:val="28"/>
          <w:szCs w:val="28"/>
        </w:rPr>
        <w:lastRenderedPageBreak/>
        <w:t>Các chỉ số đo lường mức độ thiếu hụt dịch vụ xã hội cơ bản (12 chỉ số), bao gồm:</w:t>
      </w:r>
    </w:p>
    <w:p w:rsidR="00BE13E0" w:rsidRPr="00BE13E0" w:rsidRDefault="00BE13E0" w:rsidP="00BE13E0">
      <w:pPr>
        <w:shd w:val="clear" w:color="auto" w:fill="FCFDFE"/>
        <w:spacing w:after="100" w:afterAutospacing="1" w:line="240" w:lineRule="auto"/>
        <w:ind w:firstLine="720"/>
        <w:jc w:val="both"/>
        <w:rPr>
          <w:rFonts w:ascii="Times New Roman" w:eastAsia="Times New Roman" w:hAnsi="Times New Roman" w:cs="Times New Roman"/>
          <w:sz w:val="28"/>
          <w:szCs w:val="28"/>
        </w:rPr>
      </w:pPr>
      <w:r w:rsidRPr="00BE13E0">
        <w:rPr>
          <w:rFonts w:ascii="Times New Roman" w:eastAsia="Times New Roman" w:hAnsi="Times New Roman" w:cs="Times New Roman"/>
          <w:sz w:val="28"/>
          <w:szCs w:val="28"/>
        </w:rPr>
        <w:t>Việc làm; người phụ thuộc trong hộ gia đình; dinh dưỡng; Bảo hiểm y tế; trình độ giáo dục của người lớn; tình trạng đi học của trẻ em; chất lượng nhà ở; diện tích nhà ở bình quân đầu người;</w:t>
      </w:r>
    </w:p>
    <w:p w:rsidR="00BE13E0" w:rsidRPr="00BE13E0" w:rsidRDefault="00BE13E0" w:rsidP="00BE13E0">
      <w:pPr>
        <w:shd w:val="clear" w:color="auto" w:fill="FCFDFE"/>
        <w:spacing w:after="100" w:afterAutospacing="1" w:line="240" w:lineRule="auto"/>
        <w:ind w:firstLine="720"/>
        <w:jc w:val="both"/>
        <w:rPr>
          <w:rFonts w:ascii="Times New Roman" w:eastAsia="Times New Roman" w:hAnsi="Times New Roman" w:cs="Times New Roman"/>
          <w:sz w:val="28"/>
          <w:szCs w:val="28"/>
        </w:rPr>
      </w:pPr>
      <w:r w:rsidRPr="00BE13E0">
        <w:rPr>
          <w:rFonts w:ascii="Times New Roman" w:eastAsia="Times New Roman" w:hAnsi="Times New Roman" w:cs="Times New Roman"/>
          <w:sz w:val="28"/>
          <w:szCs w:val="28"/>
        </w:rPr>
        <w:t>Nguồn nước sinh hoạt; nhà tiêu hợp vệ sinh; sử dụng dịch vụ viễn thông; phương tiện phục vụ tiếp cận thông tin.</w:t>
      </w:r>
    </w:p>
    <w:p w:rsidR="00BE13E0" w:rsidRPr="00BE13E0" w:rsidRDefault="00BE13E0" w:rsidP="00BE13E0">
      <w:pPr>
        <w:shd w:val="clear" w:color="auto" w:fill="FCFDFE"/>
        <w:spacing w:after="0" w:line="240" w:lineRule="auto"/>
        <w:rPr>
          <w:rFonts w:ascii="Times New Roman" w:eastAsia="Times New Roman" w:hAnsi="Times New Roman" w:cs="Times New Roman"/>
          <w:sz w:val="28"/>
          <w:szCs w:val="28"/>
        </w:rPr>
      </w:pPr>
      <w:r w:rsidRPr="00BE13E0">
        <w:rPr>
          <w:rFonts w:ascii="Times New Roman" w:eastAsia="Times New Roman" w:hAnsi="Times New Roman" w:cs="Times New Roman"/>
          <w:noProof/>
          <w:sz w:val="28"/>
          <w:szCs w:val="28"/>
        </w:rPr>
        <w:lastRenderedPageBreak/>
        <w:drawing>
          <wp:inline distT="0" distB="0" distL="0" distR="0" wp14:anchorId="381E42E0" wp14:editId="7BF869DB">
            <wp:extent cx="5238750" cy="6762750"/>
            <wp:effectExtent l="0" t="0" r="0" b="0"/>
            <wp:docPr id="2" name="Picture 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38750" cy="6762750"/>
                    </a:xfrm>
                    <a:prstGeom prst="rect">
                      <a:avLst/>
                    </a:prstGeom>
                    <a:noFill/>
                    <a:ln>
                      <a:noFill/>
                    </a:ln>
                  </pic:spPr>
                </pic:pic>
              </a:graphicData>
            </a:graphic>
          </wp:inline>
        </w:drawing>
      </w:r>
      <w:r w:rsidRPr="00BE13E0">
        <w:rPr>
          <w:rFonts w:ascii="Times New Roman" w:eastAsia="Times New Roman" w:hAnsi="Times New Roman" w:cs="Times New Roman"/>
          <w:noProof/>
          <w:sz w:val="28"/>
          <w:szCs w:val="28"/>
        </w:rPr>
        <w:lastRenderedPageBreak/>
        <w:drawing>
          <wp:inline distT="0" distB="0" distL="0" distR="0" wp14:anchorId="0401F8A3" wp14:editId="5AAC4547">
            <wp:extent cx="5248275" cy="6438900"/>
            <wp:effectExtent l="0" t="0" r="9525" b="0"/>
            <wp:docPr id="1" name="Picture 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48275" cy="6438900"/>
                    </a:xfrm>
                    <a:prstGeom prst="rect">
                      <a:avLst/>
                    </a:prstGeom>
                    <a:noFill/>
                    <a:ln>
                      <a:noFill/>
                    </a:ln>
                  </pic:spPr>
                </pic:pic>
              </a:graphicData>
            </a:graphic>
          </wp:inline>
        </w:drawing>
      </w:r>
    </w:p>
    <w:p w:rsidR="00BE13E0" w:rsidRPr="00BE13E0" w:rsidRDefault="00BE13E0" w:rsidP="00BE13E0">
      <w:pPr>
        <w:shd w:val="clear" w:color="auto" w:fill="FCFDFE"/>
        <w:spacing w:after="0" w:line="240" w:lineRule="auto"/>
        <w:jc w:val="center"/>
        <w:rPr>
          <w:rFonts w:ascii="Times New Roman" w:eastAsia="Times New Roman" w:hAnsi="Times New Roman" w:cs="Times New Roman"/>
          <w:sz w:val="28"/>
          <w:szCs w:val="28"/>
        </w:rPr>
      </w:pPr>
      <w:r w:rsidRPr="00BE13E0">
        <w:rPr>
          <w:rFonts w:ascii="Times New Roman" w:eastAsia="Times New Roman" w:hAnsi="Times New Roman" w:cs="Times New Roman"/>
          <w:sz w:val="28"/>
          <w:szCs w:val="28"/>
        </w:rPr>
        <w:t>Tiêu chí về xác định mức độ thiếu hụt dịch vụ xã hội cơ bản</w:t>
      </w:r>
    </w:p>
    <w:p w:rsidR="00BE13E0" w:rsidRPr="00BE13E0" w:rsidRDefault="00BE13E0" w:rsidP="00BE13E0">
      <w:pPr>
        <w:shd w:val="clear" w:color="auto" w:fill="F0F0F0"/>
        <w:spacing w:after="100" w:afterAutospacing="1" w:line="240" w:lineRule="auto"/>
        <w:ind w:firstLine="720"/>
        <w:jc w:val="both"/>
        <w:rPr>
          <w:rFonts w:ascii="Times New Roman" w:eastAsia="Times New Roman" w:hAnsi="Times New Roman" w:cs="Times New Roman"/>
          <w:i/>
          <w:iCs/>
          <w:sz w:val="28"/>
          <w:szCs w:val="28"/>
        </w:rPr>
      </w:pPr>
      <w:r w:rsidRPr="00BE13E0">
        <w:rPr>
          <w:rFonts w:ascii="Times New Roman" w:eastAsia="Times New Roman" w:hAnsi="Times New Roman" w:cs="Times New Roman"/>
          <w:i/>
          <w:iCs/>
          <w:sz w:val="28"/>
          <w:szCs w:val="28"/>
        </w:rPr>
        <w:t>Chuẩn hộ nghèo, chuẩn hộ cận nghèo, chuẩn hộ có mức sống trung bình nêu trên là căn cứ để đo lường và giám sát mức độ thiếu hụt về thu nhập và dịch vụ xã hội cơ bản của người dân; là cơ sở xác định đối tượng để thực hiện các chính sách giảm nghèo, an sinh xã hội và hoạch định các chính sách kinh tế - xã hội khác giai đoạn 2022 - 2025.</w:t>
      </w:r>
    </w:p>
    <w:p w:rsidR="00FB3575" w:rsidRPr="00BE13E0" w:rsidRDefault="009C5B5E" w:rsidP="009C5B5E">
      <w:pPr>
        <w:spacing w:line="240" w:lineRule="auto"/>
        <w:jc w:val="right"/>
        <w:rPr>
          <w:rFonts w:ascii="Times New Roman" w:hAnsi="Times New Roman" w:cs="Times New Roman"/>
          <w:sz w:val="28"/>
          <w:szCs w:val="28"/>
        </w:rPr>
      </w:pPr>
      <w:r>
        <w:rPr>
          <w:rFonts w:ascii="Times New Roman" w:hAnsi="Times New Roman" w:cs="Times New Roman"/>
          <w:sz w:val="28"/>
          <w:szCs w:val="28"/>
        </w:rPr>
        <w:t>Nguồn: Báo Lao động</w:t>
      </w:r>
    </w:p>
    <w:sectPr w:rsidR="00FB3575" w:rsidRPr="00BE13E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13E0"/>
    <w:rsid w:val="00942F7C"/>
    <w:rsid w:val="009C5B5E"/>
    <w:rsid w:val="009F5A1D"/>
    <w:rsid w:val="00BE13E0"/>
    <w:rsid w:val="00CB51EA"/>
    <w:rsid w:val="00FB4F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E13E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13E0"/>
    <w:rPr>
      <w:rFonts w:ascii="Times New Roman" w:eastAsia="Times New Roman" w:hAnsi="Times New Roman" w:cs="Times New Roman"/>
      <w:b/>
      <w:bCs/>
      <w:kern w:val="36"/>
      <w:sz w:val="48"/>
      <w:szCs w:val="48"/>
    </w:rPr>
  </w:style>
  <w:style w:type="character" w:customStyle="1" w:styleId="authors">
    <w:name w:val="authors"/>
    <w:basedOn w:val="DefaultParagraphFont"/>
    <w:rsid w:val="00BE13E0"/>
  </w:style>
  <w:style w:type="character" w:customStyle="1" w:styleId="time">
    <w:name w:val="time"/>
    <w:basedOn w:val="DefaultParagraphFont"/>
    <w:rsid w:val="00BE13E0"/>
  </w:style>
  <w:style w:type="character" w:styleId="Hyperlink">
    <w:name w:val="Hyperlink"/>
    <w:basedOn w:val="DefaultParagraphFont"/>
    <w:uiPriority w:val="99"/>
    <w:semiHidden/>
    <w:unhideWhenUsed/>
    <w:rsid w:val="00BE13E0"/>
    <w:rPr>
      <w:color w:val="0000FF"/>
      <w:u w:val="single"/>
    </w:rPr>
  </w:style>
  <w:style w:type="paragraph" w:styleId="NormalWeb">
    <w:name w:val="Normal (Web)"/>
    <w:basedOn w:val="Normal"/>
    <w:uiPriority w:val="99"/>
    <w:semiHidden/>
    <w:unhideWhenUsed/>
    <w:rsid w:val="00BE13E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E13E0"/>
    <w:rPr>
      <w:b/>
      <w:bCs/>
    </w:rPr>
  </w:style>
  <w:style w:type="paragraph" w:styleId="BalloonText">
    <w:name w:val="Balloon Text"/>
    <w:basedOn w:val="Normal"/>
    <w:link w:val="BalloonTextChar"/>
    <w:uiPriority w:val="99"/>
    <w:semiHidden/>
    <w:unhideWhenUsed/>
    <w:rsid w:val="00BE13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13E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E13E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13E0"/>
    <w:rPr>
      <w:rFonts w:ascii="Times New Roman" w:eastAsia="Times New Roman" w:hAnsi="Times New Roman" w:cs="Times New Roman"/>
      <w:b/>
      <w:bCs/>
      <w:kern w:val="36"/>
      <w:sz w:val="48"/>
      <w:szCs w:val="48"/>
    </w:rPr>
  </w:style>
  <w:style w:type="character" w:customStyle="1" w:styleId="authors">
    <w:name w:val="authors"/>
    <w:basedOn w:val="DefaultParagraphFont"/>
    <w:rsid w:val="00BE13E0"/>
  </w:style>
  <w:style w:type="character" w:customStyle="1" w:styleId="time">
    <w:name w:val="time"/>
    <w:basedOn w:val="DefaultParagraphFont"/>
    <w:rsid w:val="00BE13E0"/>
  </w:style>
  <w:style w:type="character" w:styleId="Hyperlink">
    <w:name w:val="Hyperlink"/>
    <w:basedOn w:val="DefaultParagraphFont"/>
    <w:uiPriority w:val="99"/>
    <w:semiHidden/>
    <w:unhideWhenUsed/>
    <w:rsid w:val="00BE13E0"/>
    <w:rPr>
      <w:color w:val="0000FF"/>
      <w:u w:val="single"/>
    </w:rPr>
  </w:style>
  <w:style w:type="paragraph" w:styleId="NormalWeb">
    <w:name w:val="Normal (Web)"/>
    <w:basedOn w:val="Normal"/>
    <w:uiPriority w:val="99"/>
    <w:semiHidden/>
    <w:unhideWhenUsed/>
    <w:rsid w:val="00BE13E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E13E0"/>
    <w:rPr>
      <w:b/>
      <w:bCs/>
    </w:rPr>
  </w:style>
  <w:style w:type="paragraph" w:styleId="BalloonText">
    <w:name w:val="Balloon Text"/>
    <w:basedOn w:val="Normal"/>
    <w:link w:val="BalloonTextChar"/>
    <w:uiPriority w:val="99"/>
    <w:semiHidden/>
    <w:unhideWhenUsed/>
    <w:rsid w:val="00BE13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13E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071098">
      <w:bodyDiv w:val="1"/>
      <w:marLeft w:val="0"/>
      <w:marRight w:val="0"/>
      <w:marTop w:val="0"/>
      <w:marBottom w:val="0"/>
      <w:divBdr>
        <w:top w:val="none" w:sz="0" w:space="0" w:color="auto"/>
        <w:left w:val="none" w:sz="0" w:space="0" w:color="auto"/>
        <w:bottom w:val="none" w:sz="0" w:space="0" w:color="auto"/>
        <w:right w:val="none" w:sz="0" w:space="0" w:color="auto"/>
      </w:divBdr>
      <w:divsChild>
        <w:div w:id="774592259">
          <w:marLeft w:val="0"/>
          <w:marRight w:val="0"/>
          <w:marTop w:val="0"/>
          <w:marBottom w:val="0"/>
          <w:divBdr>
            <w:top w:val="none" w:sz="0" w:space="0" w:color="auto"/>
            <w:left w:val="none" w:sz="0" w:space="0" w:color="auto"/>
            <w:bottom w:val="none" w:sz="0" w:space="0" w:color="auto"/>
            <w:right w:val="none" w:sz="0" w:space="0" w:color="auto"/>
          </w:divBdr>
        </w:div>
        <w:div w:id="855314547">
          <w:marLeft w:val="0"/>
          <w:marRight w:val="0"/>
          <w:marTop w:val="0"/>
          <w:marBottom w:val="0"/>
          <w:divBdr>
            <w:top w:val="none" w:sz="0" w:space="0" w:color="auto"/>
            <w:left w:val="none" w:sz="0" w:space="0" w:color="auto"/>
            <w:bottom w:val="none" w:sz="0" w:space="0" w:color="auto"/>
            <w:right w:val="none" w:sz="0" w:space="0" w:color="auto"/>
          </w:divBdr>
          <w:divsChild>
            <w:div w:id="616260146">
              <w:marLeft w:val="0"/>
              <w:marRight w:val="0"/>
              <w:marTop w:val="0"/>
              <w:marBottom w:val="0"/>
              <w:divBdr>
                <w:top w:val="none" w:sz="0" w:space="0" w:color="auto"/>
                <w:left w:val="none" w:sz="0" w:space="0" w:color="auto"/>
                <w:bottom w:val="none" w:sz="0" w:space="0" w:color="auto"/>
                <w:right w:val="none" w:sz="0" w:space="0" w:color="auto"/>
              </w:divBdr>
            </w:div>
            <w:div w:id="844713840">
              <w:marLeft w:val="0"/>
              <w:marRight w:val="0"/>
              <w:marTop w:val="0"/>
              <w:marBottom w:val="150"/>
              <w:divBdr>
                <w:top w:val="none" w:sz="0" w:space="0" w:color="auto"/>
                <w:left w:val="none" w:sz="0" w:space="0" w:color="auto"/>
                <w:bottom w:val="none" w:sz="0" w:space="0" w:color="auto"/>
                <w:right w:val="none" w:sz="0" w:space="0" w:color="auto"/>
              </w:divBdr>
            </w:div>
            <w:div w:id="344089317">
              <w:marLeft w:val="0"/>
              <w:marRight w:val="0"/>
              <w:marTop w:val="0"/>
              <w:marBottom w:val="375"/>
              <w:divBdr>
                <w:top w:val="none" w:sz="0" w:space="0" w:color="auto"/>
                <w:left w:val="none" w:sz="0" w:space="0" w:color="auto"/>
                <w:bottom w:val="none" w:sz="0" w:space="0" w:color="auto"/>
                <w:right w:val="none" w:sz="0" w:space="0" w:color="auto"/>
              </w:divBdr>
            </w:div>
            <w:div w:id="1650135139">
              <w:marLeft w:val="0"/>
              <w:marRight w:val="0"/>
              <w:marTop w:val="0"/>
              <w:marBottom w:val="450"/>
              <w:divBdr>
                <w:top w:val="none" w:sz="0" w:space="0" w:color="auto"/>
                <w:left w:val="none" w:sz="0" w:space="0" w:color="auto"/>
                <w:bottom w:val="none" w:sz="0" w:space="0" w:color="auto"/>
                <w:right w:val="none" w:sz="0" w:space="0" w:color="auto"/>
              </w:divBdr>
              <w:divsChild>
                <w:div w:id="116610623">
                  <w:marLeft w:val="0"/>
                  <w:marRight w:val="0"/>
                  <w:marTop w:val="150"/>
                  <w:marBottom w:val="150"/>
                  <w:divBdr>
                    <w:top w:val="dashed" w:sz="6" w:space="8" w:color="777777"/>
                    <w:left w:val="dashed" w:sz="6" w:space="8" w:color="777777"/>
                    <w:bottom w:val="dashed" w:sz="6" w:space="8" w:color="777777"/>
                    <w:right w:val="dashed" w:sz="6" w:space="8" w:color="777777"/>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s://laodong.vn/archived/ban-hanh-chuan-ngheo-tiep-can-da-chieu-giai-doan-2016-2020-huong-toi-nang-cao-doi-song-nguoi-dan-674033.ldo"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276</Words>
  <Characters>1576</Characters>
  <Application>Microsoft Office Word</Application>
  <DocSecurity>0</DocSecurity>
  <Lines>13</Lines>
  <Paragraphs>3</Paragraphs>
  <ScaleCrop>false</ScaleCrop>
  <Company>Microsoft</Company>
  <LinksUpToDate>false</LinksUpToDate>
  <CharactersWithSpaces>1849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2022-10-17T07:43:00Z</dcterms:created>
  <dcterms:modified xsi:type="dcterms:W3CDTF">2022-10-17T07:52:00Z</dcterms:modified>
</cp:coreProperties>
</file>